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01C54D08" w14:textId="77777777" w:rsidTr="00EF5995">
        <w:trPr>
          <w:trHeight w:val="408"/>
        </w:trPr>
        <w:tc>
          <w:tcPr>
            <w:tcW w:w="426" w:type="dxa"/>
            <w:vMerge w:val="restart"/>
            <w:textDirection w:val="btLr"/>
          </w:tcPr>
          <w:p w14:paraId="26B39F32" w14:textId="77777777" w:rsidR="003A1947" w:rsidRPr="009A23A1" w:rsidRDefault="003A1947" w:rsidP="003A1947">
            <w:pPr>
              <w:ind w:left="113" w:right="113"/>
              <w:jc w:val="center"/>
              <w:rPr>
                <w:b/>
              </w:rPr>
            </w:pPr>
            <w:r w:rsidRPr="009A23A1">
              <w:rPr>
                <w:b/>
              </w:rPr>
              <w:t>ANALİZİ TALEP EDEN</w:t>
            </w:r>
          </w:p>
          <w:p w14:paraId="53EF0E0A" w14:textId="77777777" w:rsidR="003A1947" w:rsidRPr="009A23A1" w:rsidRDefault="003A1947" w:rsidP="003A1947">
            <w:pPr>
              <w:ind w:left="113" w:right="113"/>
            </w:pPr>
          </w:p>
          <w:p w14:paraId="14FA7D69" w14:textId="77777777" w:rsidR="003A1947" w:rsidRPr="009A23A1" w:rsidRDefault="003A1947" w:rsidP="003A1947">
            <w:pPr>
              <w:ind w:left="113" w:right="113"/>
            </w:pPr>
          </w:p>
          <w:p w14:paraId="68A9EE92" w14:textId="77777777" w:rsidR="003A1947" w:rsidRPr="009A23A1" w:rsidRDefault="003A1947" w:rsidP="003A1947">
            <w:pPr>
              <w:ind w:left="113" w:right="113"/>
            </w:pPr>
          </w:p>
          <w:p w14:paraId="5A32578A" w14:textId="77777777" w:rsidR="003A1947" w:rsidRPr="009A23A1" w:rsidRDefault="003A1947" w:rsidP="003A1947">
            <w:pPr>
              <w:ind w:left="113" w:right="113"/>
            </w:pPr>
          </w:p>
          <w:p w14:paraId="585536AD" w14:textId="77777777" w:rsidR="003A1947" w:rsidRPr="009A23A1" w:rsidRDefault="003A1947" w:rsidP="003A1947">
            <w:pPr>
              <w:ind w:left="113" w:right="113"/>
            </w:pPr>
          </w:p>
        </w:tc>
        <w:tc>
          <w:tcPr>
            <w:tcW w:w="10228" w:type="dxa"/>
            <w:gridSpan w:val="2"/>
          </w:tcPr>
          <w:p w14:paraId="581F7A1D" w14:textId="77777777" w:rsidR="003E43AD" w:rsidRPr="009A23A1" w:rsidRDefault="003E43AD">
            <w:pPr>
              <w:rPr>
                <w:b/>
              </w:rPr>
            </w:pPr>
          </w:p>
          <w:p w14:paraId="4A9CA09F" w14:textId="77777777" w:rsidR="003A1947" w:rsidRPr="009A23A1" w:rsidRDefault="003A1947">
            <w:pPr>
              <w:rPr>
                <w:b/>
              </w:rPr>
            </w:pPr>
            <w:r w:rsidRPr="009A23A1">
              <w:rPr>
                <w:b/>
              </w:rPr>
              <w:t xml:space="preserve">Ad, </w:t>
            </w:r>
            <w:proofErr w:type="spellStart"/>
            <w:r w:rsidRPr="009A23A1">
              <w:rPr>
                <w:b/>
              </w:rPr>
              <w:t>Soyad</w:t>
            </w:r>
            <w:proofErr w:type="spellEnd"/>
            <w:r w:rsidRPr="009A23A1">
              <w:rPr>
                <w:b/>
              </w:rPr>
              <w:t>:</w:t>
            </w:r>
          </w:p>
          <w:p w14:paraId="75CAD7CA" w14:textId="77777777" w:rsidR="003A1947" w:rsidRPr="009A23A1" w:rsidRDefault="003A1947">
            <w:pPr>
              <w:rPr>
                <w:b/>
              </w:rPr>
            </w:pPr>
            <w:r w:rsidRPr="009A23A1">
              <w:rPr>
                <w:b/>
              </w:rPr>
              <w:t xml:space="preserve"> </w:t>
            </w:r>
          </w:p>
        </w:tc>
      </w:tr>
      <w:tr w:rsidR="003A1947" w:rsidRPr="009A23A1" w14:paraId="1991056E" w14:textId="77777777" w:rsidTr="00EF5995">
        <w:trPr>
          <w:trHeight w:val="1842"/>
        </w:trPr>
        <w:tc>
          <w:tcPr>
            <w:tcW w:w="426" w:type="dxa"/>
            <w:vMerge/>
          </w:tcPr>
          <w:p w14:paraId="0928EE12" w14:textId="77777777" w:rsidR="003A1947" w:rsidRPr="009A23A1" w:rsidRDefault="003A1947"/>
        </w:tc>
        <w:tc>
          <w:tcPr>
            <w:tcW w:w="5527" w:type="dxa"/>
          </w:tcPr>
          <w:p w14:paraId="0241EAEF"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35DE7462" w14:textId="77777777" w:rsidR="003A1947" w:rsidRPr="009A23A1" w:rsidRDefault="003A1947" w:rsidP="003A1947">
            <w:pPr>
              <w:pStyle w:val="GurupBasligi"/>
              <w:snapToGrid w:val="0"/>
              <w:spacing w:before="0" w:after="0"/>
              <w:rPr>
                <w:rFonts w:ascii="Times New Roman" w:hAnsi="Times New Roman"/>
                <w:sz w:val="24"/>
              </w:rPr>
            </w:pPr>
          </w:p>
          <w:p w14:paraId="3223AC93" w14:textId="77777777" w:rsidR="003A1947" w:rsidRPr="009A23A1" w:rsidRDefault="003A1947" w:rsidP="003A1947">
            <w:pPr>
              <w:pStyle w:val="GurupBasligi"/>
              <w:snapToGrid w:val="0"/>
              <w:spacing w:before="0" w:after="0"/>
              <w:rPr>
                <w:rFonts w:ascii="Times New Roman" w:hAnsi="Times New Roman"/>
                <w:sz w:val="24"/>
              </w:rPr>
            </w:pPr>
          </w:p>
          <w:p w14:paraId="1DA0463E"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28B36CE6" w14:textId="77777777" w:rsidR="003A1947" w:rsidRPr="009A23A1" w:rsidRDefault="003A1947" w:rsidP="003A1947">
            <w:pPr>
              <w:pStyle w:val="GurupBasligi"/>
              <w:snapToGrid w:val="0"/>
              <w:spacing w:before="0" w:after="0"/>
              <w:rPr>
                <w:rFonts w:ascii="Times New Roman" w:hAnsi="Times New Roman"/>
                <w:sz w:val="24"/>
              </w:rPr>
            </w:pPr>
          </w:p>
          <w:p w14:paraId="06658C20" w14:textId="77777777" w:rsidR="003A1947" w:rsidRPr="009A23A1" w:rsidRDefault="003A1947" w:rsidP="003A1947">
            <w:pPr>
              <w:pStyle w:val="GurupBasligi"/>
              <w:snapToGrid w:val="0"/>
              <w:spacing w:before="0" w:after="0"/>
              <w:rPr>
                <w:rFonts w:ascii="Times New Roman" w:hAnsi="Times New Roman"/>
                <w:sz w:val="24"/>
              </w:rPr>
            </w:pPr>
          </w:p>
          <w:p w14:paraId="00BD4F91" w14:textId="77777777" w:rsidR="003A1947" w:rsidRPr="009A23A1" w:rsidRDefault="003A1947" w:rsidP="003A1947">
            <w:pPr>
              <w:spacing w:after="200" w:line="276" w:lineRule="auto"/>
              <w:rPr>
                <w:b/>
              </w:rPr>
            </w:pPr>
          </w:p>
        </w:tc>
        <w:tc>
          <w:tcPr>
            <w:tcW w:w="4701" w:type="dxa"/>
          </w:tcPr>
          <w:p w14:paraId="79A21A08"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5ACD9320" w14:textId="77777777" w:rsidR="003A1947" w:rsidRPr="009A23A1" w:rsidRDefault="003A1947" w:rsidP="003A1947">
            <w:pPr>
              <w:pStyle w:val="GurupBasligi"/>
              <w:snapToGrid w:val="0"/>
              <w:spacing w:before="0" w:after="0"/>
              <w:rPr>
                <w:rFonts w:ascii="Times New Roman" w:hAnsi="Times New Roman"/>
                <w:sz w:val="24"/>
              </w:rPr>
            </w:pPr>
          </w:p>
          <w:p w14:paraId="1B921F80"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4FCF220E" w14:textId="77777777" w:rsidR="003A1947" w:rsidRPr="009A23A1" w:rsidRDefault="003A1947" w:rsidP="003A1947">
            <w:pPr>
              <w:pStyle w:val="GurupBasligi"/>
              <w:snapToGrid w:val="0"/>
              <w:spacing w:before="0" w:after="0"/>
              <w:rPr>
                <w:rFonts w:ascii="Times New Roman" w:hAnsi="Times New Roman"/>
                <w:sz w:val="24"/>
              </w:rPr>
            </w:pPr>
          </w:p>
          <w:p w14:paraId="585A4189" w14:textId="77777777" w:rsidR="003A1947" w:rsidRPr="009A23A1" w:rsidRDefault="003A1947" w:rsidP="003A1947">
            <w:pPr>
              <w:rPr>
                <w:b/>
              </w:rPr>
            </w:pPr>
            <w:proofErr w:type="gramStart"/>
            <w:r w:rsidRPr="009A23A1">
              <w:rPr>
                <w:b/>
              </w:rPr>
              <w:t>e</w:t>
            </w:r>
            <w:proofErr w:type="gramEnd"/>
            <w:r w:rsidRPr="009A23A1">
              <w:rPr>
                <w:b/>
              </w:rPr>
              <w:t>-Posta: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72D17EA2" w14:textId="77777777" w:rsidTr="00805C50">
        <w:trPr>
          <w:trHeight w:val="677"/>
        </w:trPr>
        <w:tc>
          <w:tcPr>
            <w:tcW w:w="10660" w:type="dxa"/>
            <w:tcBorders>
              <w:top w:val="single" w:sz="4" w:space="0" w:color="auto"/>
              <w:left w:val="single" w:sz="4" w:space="0" w:color="auto"/>
              <w:bottom w:val="single" w:sz="4" w:space="0" w:color="auto"/>
              <w:right w:val="single" w:sz="4" w:space="0" w:color="auto"/>
            </w:tcBorders>
            <w:hideMark/>
          </w:tcPr>
          <w:p w14:paraId="6B8A0C93"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2A114569" w14:textId="77777777" w:rsidR="001C306D" w:rsidRPr="009A23A1" w:rsidRDefault="001C306D" w:rsidP="009F4F6C">
            <w:pPr>
              <w:snapToGrid w:val="0"/>
              <w:jc w:val="both"/>
              <w:rPr>
                <w:b/>
                <w:lang w:eastAsia="en-US"/>
              </w:rPr>
            </w:pPr>
          </w:p>
          <w:p w14:paraId="73A09719"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69F4040F" w14:textId="77777777" w:rsidR="003A1947" w:rsidRDefault="003A1947"/>
    <w:tbl>
      <w:tblPr>
        <w:tblW w:w="106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9"/>
        <w:gridCol w:w="5022"/>
        <w:gridCol w:w="5214"/>
      </w:tblGrid>
      <w:tr w:rsidR="00CE3002" w:rsidRPr="006545D7" w14:paraId="6B849A5F" w14:textId="77777777" w:rsidTr="00BA4220">
        <w:trPr>
          <w:trHeight w:val="2140"/>
        </w:trPr>
        <w:tc>
          <w:tcPr>
            <w:tcW w:w="419" w:type="dxa"/>
            <w:textDirection w:val="btLr"/>
          </w:tcPr>
          <w:p w14:paraId="514CB35A" w14:textId="77777777" w:rsidR="00CE3002" w:rsidRPr="009F2C3F" w:rsidRDefault="00CE3002" w:rsidP="00B46ACA">
            <w:pPr>
              <w:ind w:left="113" w:right="113"/>
              <w:jc w:val="center"/>
              <w:rPr>
                <w:sz w:val="22"/>
                <w:szCs w:val="22"/>
              </w:rPr>
            </w:pPr>
            <w:r w:rsidRPr="009F2C3F">
              <w:rPr>
                <w:b/>
                <w:sz w:val="22"/>
                <w:szCs w:val="22"/>
              </w:rPr>
              <w:t>DENEY BİLGİLERİ</w:t>
            </w:r>
          </w:p>
          <w:p w14:paraId="06895FDC" w14:textId="77777777" w:rsidR="00CE3002" w:rsidRPr="009F2C3F" w:rsidRDefault="00CE3002" w:rsidP="00B46ACA">
            <w:pPr>
              <w:ind w:left="113" w:right="113"/>
              <w:rPr>
                <w:sz w:val="22"/>
                <w:szCs w:val="22"/>
              </w:rPr>
            </w:pPr>
          </w:p>
          <w:p w14:paraId="5F2F3E6E" w14:textId="77777777" w:rsidR="00CE3002" w:rsidRPr="009F2C3F" w:rsidRDefault="00CE3002" w:rsidP="00B46ACA">
            <w:pPr>
              <w:ind w:left="113" w:right="113"/>
              <w:rPr>
                <w:sz w:val="22"/>
                <w:szCs w:val="22"/>
              </w:rPr>
            </w:pPr>
          </w:p>
          <w:p w14:paraId="327AF50D" w14:textId="77777777" w:rsidR="00CE3002" w:rsidRPr="009F2C3F" w:rsidRDefault="00CE3002" w:rsidP="00B46ACA">
            <w:pPr>
              <w:ind w:left="113" w:right="113"/>
              <w:rPr>
                <w:sz w:val="22"/>
                <w:szCs w:val="22"/>
              </w:rPr>
            </w:pPr>
          </w:p>
          <w:p w14:paraId="3217CD90" w14:textId="77777777" w:rsidR="00CE3002" w:rsidRPr="009F2C3F" w:rsidRDefault="00CE3002" w:rsidP="00B46ACA">
            <w:pPr>
              <w:ind w:left="113" w:right="113"/>
              <w:rPr>
                <w:sz w:val="22"/>
                <w:szCs w:val="22"/>
              </w:rPr>
            </w:pPr>
          </w:p>
        </w:tc>
        <w:tc>
          <w:tcPr>
            <w:tcW w:w="5022" w:type="dxa"/>
            <w:vAlign w:val="center"/>
          </w:tcPr>
          <w:p w14:paraId="5635DEFC" w14:textId="77777777" w:rsidR="00CE3002" w:rsidRPr="000322A1" w:rsidRDefault="00CE3002" w:rsidP="00B46ACA">
            <w:pPr>
              <w:pStyle w:val="GrupYazi"/>
              <w:snapToGrid w:val="0"/>
              <w:spacing w:before="0" w:after="0" w:line="720" w:lineRule="auto"/>
              <w:jc w:val="left"/>
              <w:rPr>
                <w:rFonts w:ascii="Times New Roman" w:hAnsi="Times New Roman"/>
                <w:b/>
                <w:bCs/>
                <w:sz w:val="24"/>
                <w:szCs w:val="22"/>
              </w:rPr>
            </w:pPr>
            <w:r w:rsidRPr="000322A1">
              <w:rPr>
                <w:rFonts w:ascii="MS Mincho" w:eastAsia="MS Mincho" w:hAnsi="MS Mincho" w:cs="MS Mincho" w:hint="eastAsia"/>
                <w:b/>
                <w:bCs/>
                <w:sz w:val="24"/>
                <w:szCs w:val="22"/>
              </w:rPr>
              <w:t>☐</w:t>
            </w:r>
            <w:r w:rsidRPr="000322A1">
              <w:rPr>
                <w:rFonts w:ascii="Times New Roman" w:hAnsi="Times New Roman"/>
                <w:b/>
                <w:bCs/>
                <w:sz w:val="24"/>
                <w:szCs w:val="22"/>
              </w:rPr>
              <w:t xml:space="preserve"> TGA</w:t>
            </w:r>
          </w:p>
          <w:p w14:paraId="6BB842EF" w14:textId="77777777" w:rsidR="00CE3002" w:rsidRPr="000322A1" w:rsidRDefault="00CE3002" w:rsidP="00B46ACA">
            <w:pPr>
              <w:pStyle w:val="GrupYazi"/>
              <w:snapToGrid w:val="0"/>
              <w:spacing w:before="0" w:after="0"/>
              <w:jc w:val="left"/>
              <w:rPr>
                <w:rFonts w:ascii="Times New Roman" w:hAnsi="Times New Roman"/>
                <w:b/>
                <w:sz w:val="24"/>
                <w:szCs w:val="22"/>
              </w:rPr>
            </w:pPr>
            <w:r w:rsidRPr="000322A1">
              <w:rPr>
                <w:rFonts w:ascii="MS Mincho" w:eastAsia="MS Mincho" w:hAnsi="MS Mincho" w:cs="MS Mincho" w:hint="eastAsia"/>
                <w:b/>
                <w:bCs/>
                <w:sz w:val="24"/>
                <w:szCs w:val="22"/>
              </w:rPr>
              <w:t>☐</w:t>
            </w:r>
            <w:r w:rsidRPr="000322A1">
              <w:rPr>
                <w:rFonts w:ascii="Times New Roman" w:hAnsi="Times New Roman"/>
                <w:b/>
                <w:bCs/>
                <w:sz w:val="24"/>
                <w:szCs w:val="22"/>
              </w:rPr>
              <w:t xml:space="preserve"> TGA+DTA   </w:t>
            </w:r>
          </w:p>
          <w:p w14:paraId="16ECBF6A" w14:textId="77777777" w:rsidR="00CE3002" w:rsidRPr="000322A1" w:rsidRDefault="00CE3002" w:rsidP="00B46ACA">
            <w:pPr>
              <w:pStyle w:val="GrupYazi"/>
              <w:snapToGrid w:val="0"/>
              <w:spacing w:before="0" w:after="0"/>
              <w:jc w:val="left"/>
              <w:rPr>
                <w:rFonts w:ascii="Times New Roman" w:hAnsi="Times New Roman"/>
                <w:b/>
                <w:sz w:val="24"/>
                <w:szCs w:val="22"/>
              </w:rPr>
            </w:pPr>
          </w:p>
        </w:tc>
        <w:tc>
          <w:tcPr>
            <w:tcW w:w="5214" w:type="dxa"/>
          </w:tcPr>
          <w:p w14:paraId="13781143" w14:textId="77777777" w:rsidR="00CE3002" w:rsidRPr="000322A1" w:rsidRDefault="00CE3002" w:rsidP="00B46ACA">
            <w:pPr>
              <w:pStyle w:val="GurupBasligi"/>
              <w:snapToGrid w:val="0"/>
              <w:spacing w:before="0" w:after="0" w:line="480" w:lineRule="auto"/>
              <w:jc w:val="left"/>
              <w:rPr>
                <w:rFonts w:ascii="Times New Roman" w:hAnsi="Times New Roman"/>
                <w:bCs/>
                <w:sz w:val="24"/>
                <w:szCs w:val="22"/>
              </w:rPr>
            </w:pPr>
            <w:r w:rsidRPr="000322A1">
              <w:rPr>
                <w:rFonts w:ascii="Times New Roman" w:hAnsi="Times New Roman"/>
                <w:sz w:val="24"/>
                <w:szCs w:val="22"/>
              </w:rPr>
              <w:t>Isıtma Hızı (</w:t>
            </w:r>
            <w:r w:rsidRPr="000322A1">
              <w:rPr>
                <w:rFonts w:ascii="Times New Roman" w:hAnsi="Times New Roman"/>
                <w:sz w:val="24"/>
                <w:szCs w:val="22"/>
              </w:rPr>
              <w:sym w:font="Symbol" w:char="F0B0"/>
            </w:r>
            <w:r w:rsidRPr="000322A1">
              <w:rPr>
                <w:rFonts w:ascii="Times New Roman" w:hAnsi="Times New Roman"/>
                <w:sz w:val="24"/>
                <w:szCs w:val="22"/>
              </w:rPr>
              <w:t>C/</w:t>
            </w:r>
            <w:proofErr w:type="spellStart"/>
            <w:r w:rsidRPr="000322A1">
              <w:rPr>
                <w:rFonts w:ascii="Times New Roman" w:hAnsi="Times New Roman"/>
                <w:sz w:val="24"/>
                <w:szCs w:val="22"/>
              </w:rPr>
              <w:t>min</w:t>
            </w:r>
            <w:proofErr w:type="spellEnd"/>
            <w:r w:rsidRPr="000322A1">
              <w:rPr>
                <w:rFonts w:ascii="Times New Roman" w:hAnsi="Times New Roman"/>
                <w:sz w:val="24"/>
                <w:szCs w:val="22"/>
              </w:rPr>
              <w:t>)</w:t>
            </w:r>
            <w:r w:rsidRPr="000322A1">
              <w:rPr>
                <w:rFonts w:ascii="Times New Roman" w:hAnsi="Times New Roman"/>
                <w:bCs/>
                <w:sz w:val="24"/>
                <w:szCs w:val="22"/>
              </w:rPr>
              <w:t>:</w:t>
            </w:r>
          </w:p>
          <w:p w14:paraId="003B0352" w14:textId="77777777" w:rsidR="00CE3002" w:rsidRPr="000322A1" w:rsidRDefault="00CE3002" w:rsidP="00B46ACA">
            <w:pPr>
              <w:pStyle w:val="GurupBasligi"/>
              <w:snapToGrid w:val="0"/>
              <w:spacing w:before="0" w:after="0" w:line="480" w:lineRule="auto"/>
              <w:jc w:val="left"/>
              <w:rPr>
                <w:rFonts w:ascii="Times New Roman" w:hAnsi="Times New Roman"/>
                <w:bCs/>
                <w:sz w:val="24"/>
                <w:szCs w:val="22"/>
              </w:rPr>
            </w:pPr>
            <w:r w:rsidRPr="000322A1">
              <w:rPr>
                <w:rFonts w:ascii="Times New Roman" w:hAnsi="Times New Roman"/>
                <w:bCs/>
                <w:sz w:val="24"/>
                <w:szCs w:val="22"/>
              </w:rPr>
              <w:t>Sıcaklık Aralığı (</w:t>
            </w:r>
            <w:r w:rsidRPr="000322A1">
              <w:rPr>
                <w:rFonts w:ascii="Times New Roman" w:hAnsi="Times New Roman"/>
                <w:bCs/>
                <w:sz w:val="24"/>
                <w:szCs w:val="22"/>
              </w:rPr>
              <w:sym w:font="Symbol" w:char="F0B0"/>
            </w:r>
            <w:r w:rsidRPr="000322A1">
              <w:rPr>
                <w:rFonts w:ascii="Times New Roman" w:hAnsi="Times New Roman"/>
                <w:bCs/>
                <w:sz w:val="24"/>
                <w:szCs w:val="22"/>
              </w:rPr>
              <w:t>C):</w:t>
            </w:r>
          </w:p>
          <w:p w14:paraId="72FB1B4E" w14:textId="77777777" w:rsidR="00CE3002" w:rsidRPr="000322A1" w:rsidRDefault="00CE3002" w:rsidP="00B46ACA">
            <w:pPr>
              <w:pStyle w:val="GurupBasligi"/>
              <w:snapToGrid w:val="0"/>
              <w:spacing w:before="0" w:after="0" w:line="480" w:lineRule="auto"/>
              <w:rPr>
                <w:rFonts w:ascii="Times New Roman" w:hAnsi="Times New Roman"/>
                <w:bCs/>
                <w:sz w:val="24"/>
                <w:szCs w:val="22"/>
              </w:rPr>
            </w:pPr>
            <w:r w:rsidRPr="000322A1">
              <w:rPr>
                <w:rFonts w:ascii="Times New Roman" w:hAnsi="Times New Roman"/>
                <w:bCs/>
                <w:sz w:val="24"/>
                <w:szCs w:val="22"/>
              </w:rPr>
              <w:t>Deney Atmosferi:</w:t>
            </w:r>
          </w:p>
          <w:p w14:paraId="26537A39" w14:textId="77777777" w:rsidR="00CE3002" w:rsidRPr="000322A1" w:rsidRDefault="00CE3002" w:rsidP="00BA4220">
            <w:pPr>
              <w:pStyle w:val="GrupYazi"/>
              <w:tabs>
                <w:tab w:val="left" w:pos="388"/>
                <w:tab w:val="left" w:pos="720"/>
                <w:tab w:val="left" w:pos="1440"/>
                <w:tab w:val="left" w:pos="2160"/>
                <w:tab w:val="left" w:pos="2880"/>
                <w:tab w:val="right" w:pos="3780"/>
              </w:tabs>
              <w:snapToGrid w:val="0"/>
              <w:spacing w:before="0" w:after="0" w:line="480" w:lineRule="auto"/>
              <w:rPr>
                <w:rFonts w:ascii="Times New Roman" w:hAnsi="Times New Roman"/>
                <w:b/>
                <w:bCs/>
                <w:sz w:val="24"/>
                <w:szCs w:val="22"/>
              </w:rPr>
            </w:pPr>
            <w:r w:rsidRPr="000322A1">
              <w:rPr>
                <w:rFonts w:ascii="Segoe UI Symbol" w:eastAsia="MS Mincho" w:hAnsi="Segoe UI Symbol" w:cs="Segoe UI Symbol"/>
                <w:b/>
                <w:bCs/>
                <w:sz w:val="24"/>
                <w:szCs w:val="22"/>
              </w:rPr>
              <w:t>☐</w:t>
            </w:r>
            <w:r w:rsidRPr="000322A1">
              <w:rPr>
                <w:rFonts w:ascii="Times New Roman" w:hAnsi="Times New Roman"/>
                <w:b/>
                <w:bCs/>
                <w:sz w:val="24"/>
                <w:szCs w:val="22"/>
              </w:rPr>
              <w:t xml:space="preserve"> Azot            </w:t>
            </w:r>
            <w:r w:rsidRPr="000322A1">
              <w:rPr>
                <w:rFonts w:ascii="Segoe UI Symbol" w:eastAsia="MS Mincho" w:hAnsi="Segoe UI Symbol" w:cs="Segoe UI Symbol"/>
                <w:b/>
                <w:bCs/>
                <w:sz w:val="24"/>
                <w:szCs w:val="22"/>
              </w:rPr>
              <w:t>☐</w:t>
            </w:r>
            <w:r w:rsidR="00BA4220">
              <w:rPr>
                <w:rFonts w:ascii="Segoe UI Symbol" w:eastAsia="MS Mincho" w:hAnsi="Segoe UI Symbol" w:cs="Segoe UI Symbol"/>
                <w:b/>
                <w:bCs/>
                <w:sz w:val="24"/>
                <w:szCs w:val="22"/>
              </w:rPr>
              <w:t xml:space="preserve"> </w:t>
            </w:r>
            <w:r w:rsidRPr="000322A1">
              <w:rPr>
                <w:rFonts w:ascii="Times New Roman" w:hAnsi="Times New Roman"/>
                <w:b/>
                <w:bCs/>
                <w:sz w:val="24"/>
                <w:szCs w:val="22"/>
              </w:rPr>
              <w:t xml:space="preserve">Oksijen            </w:t>
            </w:r>
            <w:r w:rsidRPr="000322A1">
              <w:rPr>
                <w:rFonts w:ascii="Segoe UI Symbol" w:eastAsia="MS Mincho" w:hAnsi="Segoe UI Symbol" w:cs="Segoe UI Symbol"/>
                <w:b/>
                <w:bCs/>
                <w:sz w:val="24"/>
                <w:szCs w:val="22"/>
              </w:rPr>
              <w:t>☐</w:t>
            </w:r>
            <w:r w:rsidR="00BA4220">
              <w:rPr>
                <w:rFonts w:ascii="Segoe UI Symbol" w:eastAsia="MS Mincho" w:hAnsi="Segoe UI Symbol" w:cs="Segoe UI Symbol"/>
                <w:b/>
                <w:bCs/>
                <w:sz w:val="24"/>
                <w:szCs w:val="22"/>
              </w:rPr>
              <w:t xml:space="preserve"> </w:t>
            </w:r>
            <w:r w:rsidRPr="000322A1">
              <w:rPr>
                <w:rFonts w:ascii="Times New Roman" w:hAnsi="Times New Roman"/>
                <w:b/>
                <w:bCs/>
                <w:sz w:val="24"/>
                <w:szCs w:val="22"/>
              </w:rPr>
              <w:t xml:space="preserve">Hava  </w:t>
            </w:r>
          </w:p>
        </w:tc>
      </w:tr>
    </w:tbl>
    <w:p w14:paraId="59231B28" w14:textId="77777777" w:rsidR="00CE3002" w:rsidRPr="009A23A1" w:rsidRDefault="00CE3002"/>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36390069" w14:textId="77777777" w:rsidTr="0061689A">
        <w:trPr>
          <w:trHeight w:val="1922"/>
        </w:trPr>
        <w:tc>
          <w:tcPr>
            <w:tcW w:w="426" w:type="dxa"/>
            <w:textDirection w:val="btLr"/>
          </w:tcPr>
          <w:p w14:paraId="32D5B60F" w14:textId="77777777" w:rsidR="003A1947" w:rsidRPr="004A1503" w:rsidRDefault="003A1947" w:rsidP="009A4558">
            <w:pPr>
              <w:ind w:left="113" w:right="113"/>
              <w:jc w:val="center"/>
            </w:pPr>
            <w:r w:rsidRPr="004A1503">
              <w:rPr>
                <w:b/>
              </w:rPr>
              <w:t>GÜVENLİK BİLGİLERİ</w:t>
            </w:r>
          </w:p>
          <w:p w14:paraId="4BB61FD6" w14:textId="77777777" w:rsidR="003A1947" w:rsidRPr="004A1503" w:rsidRDefault="003A1947" w:rsidP="009A4558">
            <w:pPr>
              <w:ind w:left="113" w:right="113"/>
            </w:pPr>
          </w:p>
          <w:p w14:paraId="24F02C09" w14:textId="77777777" w:rsidR="003A1947" w:rsidRPr="004A1503" w:rsidRDefault="003A1947" w:rsidP="009A4558">
            <w:pPr>
              <w:ind w:left="113" w:right="113"/>
            </w:pPr>
          </w:p>
          <w:p w14:paraId="2CD62033" w14:textId="77777777" w:rsidR="003A1947" w:rsidRPr="004A1503" w:rsidRDefault="003A1947" w:rsidP="009A4558">
            <w:pPr>
              <w:ind w:left="113" w:right="113"/>
            </w:pPr>
          </w:p>
          <w:p w14:paraId="2D9E1095" w14:textId="77777777" w:rsidR="003A1947" w:rsidRPr="004A1503" w:rsidRDefault="003A1947" w:rsidP="009A4558">
            <w:pPr>
              <w:ind w:left="113" w:right="113"/>
            </w:pPr>
          </w:p>
        </w:tc>
        <w:tc>
          <w:tcPr>
            <w:tcW w:w="10228" w:type="dxa"/>
          </w:tcPr>
          <w:p w14:paraId="23EEE59E"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1EEBAECD"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529D9E20"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3F28DC">
              <w:rPr>
                <w:rFonts w:ascii="Segoe UI Symbol" w:eastAsia="MS Mincho" w:hAnsi="Segoe UI Symbol" w:cs="Segoe UI Symbol"/>
                <w:b/>
                <w:sz w:val="24"/>
              </w:rPr>
              <w:t xml:space="preserve"> </w:t>
            </w:r>
            <w:r w:rsidRPr="004A1503">
              <w:rPr>
                <w:rFonts w:ascii="Times New Roman" w:hAnsi="Times New Roman"/>
                <w:b/>
                <w:sz w:val="24"/>
              </w:rPr>
              <w:t>çevreye</w:t>
            </w:r>
          </w:p>
          <w:p w14:paraId="03C81F8C"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3F28DC">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2F6F033F"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50DC4301" w14:textId="77777777" w:rsidR="00BA4220" w:rsidRDefault="00BA4220" w:rsidP="003F28DC">
            <w:pPr>
              <w:pStyle w:val="GrupYazi"/>
              <w:snapToGrid w:val="0"/>
              <w:spacing w:before="0" w:after="0"/>
              <w:rPr>
                <w:rFonts w:ascii="Times New Roman" w:hAnsi="Times New Roman"/>
                <w:b/>
                <w:sz w:val="24"/>
              </w:rPr>
            </w:pPr>
          </w:p>
          <w:p w14:paraId="2D036344" w14:textId="77777777" w:rsidR="003F28DC" w:rsidRPr="004A1503" w:rsidRDefault="003F28DC" w:rsidP="003F28DC">
            <w:pPr>
              <w:pStyle w:val="GrupYazi"/>
              <w:snapToGrid w:val="0"/>
              <w:spacing w:before="0" w:after="0"/>
              <w:rPr>
                <w:rFonts w:ascii="Times New Roman" w:hAnsi="Times New Roman"/>
                <w:b/>
                <w:sz w:val="24"/>
              </w:rPr>
            </w:pPr>
            <w:r w:rsidRPr="004A1503">
              <w:rPr>
                <w:rFonts w:ascii="Times New Roman" w:hAnsi="Times New Roman"/>
                <w:b/>
                <w:sz w:val="24"/>
              </w:rPr>
              <w:t xml:space="preserve">Analizi Talep Eden                                       </w:t>
            </w:r>
            <w:r>
              <w:rPr>
                <w:rFonts w:ascii="Times New Roman" w:hAnsi="Times New Roman"/>
                <w:b/>
                <w:sz w:val="24"/>
              </w:rPr>
              <w:t xml:space="preserve">                              </w:t>
            </w:r>
            <w:r w:rsidRPr="004A1503">
              <w:rPr>
                <w:rFonts w:ascii="Times New Roman" w:hAnsi="Times New Roman"/>
                <w:b/>
                <w:sz w:val="24"/>
              </w:rPr>
              <w:t xml:space="preserve"> Tarih: </w:t>
            </w:r>
          </w:p>
          <w:p w14:paraId="760402BD" w14:textId="77777777" w:rsidR="004A1503" w:rsidRDefault="003F28DC" w:rsidP="00BA4220">
            <w:pPr>
              <w:pStyle w:val="GrupYazi"/>
              <w:snapToGrid w:val="0"/>
              <w:spacing w:before="0" w:after="0"/>
              <w:rPr>
                <w:rFonts w:ascii="Times New Roman" w:hAnsi="Times New Roman"/>
                <w:b/>
                <w:sz w:val="24"/>
              </w:rPr>
            </w:pPr>
            <w:r w:rsidRPr="004A1503">
              <w:rPr>
                <w:rFonts w:ascii="Times New Roman" w:hAnsi="Times New Roman"/>
                <w:b/>
                <w:sz w:val="24"/>
              </w:rPr>
              <w:t xml:space="preserve">Ad, </w:t>
            </w:r>
            <w:proofErr w:type="spellStart"/>
            <w:r w:rsidRPr="004A1503">
              <w:rPr>
                <w:rFonts w:ascii="Times New Roman" w:hAnsi="Times New Roman"/>
                <w:b/>
                <w:sz w:val="24"/>
              </w:rPr>
              <w:t>Soyad</w:t>
            </w:r>
            <w:proofErr w:type="spellEnd"/>
            <w:r w:rsidRPr="004A1503">
              <w:rPr>
                <w:rFonts w:ascii="Times New Roman" w:hAnsi="Times New Roman"/>
                <w:b/>
                <w:sz w:val="24"/>
              </w:rPr>
              <w:t xml:space="preserve">:                                                    </w:t>
            </w:r>
            <w:r>
              <w:rPr>
                <w:rFonts w:ascii="Times New Roman" w:hAnsi="Times New Roman"/>
                <w:b/>
                <w:sz w:val="24"/>
              </w:rPr>
              <w:t xml:space="preserve">                               </w:t>
            </w:r>
            <w:r w:rsidRPr="004A1503">
              <w:rPr>
                <w:rFonts w:ascii="Times New Roman" w:hAnsi="Times New Roman"/>
                <w:b/>
                <w:sz w:val="24"/>
              </w:rPr>
              <w:t xml:space="preserve"> İmza:</w:t>
            </w:r>
          </w:p>
          <w:p w14:paraId="12EA011A" w14:textId="77777777" w:rsidR="00BA4220" w:rsidRPr="004A1503" w:rsidRDefault="00BA4220" w:rsidP="00BA4220">
            <w:pPr>
              <w:pStyle w:val="GrupYazi"/>
              <w:snapToGrid w:val="0"/>
              <w:spacing w:before="0" w:after="0"/>
              <w:rPr>
                <w:rFonts w:ascii="Times New Roman" w:eastAsia="MS Gothic" w:hAnsi="Times New Roman"/>
                <w:sz w:val="24"/>
              </w:rPr>
            </w:pPr>
          </w:p>
        </w:tc>
      </w:tr>
    </w:tbl>
    <w:p w14:paraId="43D19E4D"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1F7F9AD0" w14:textId="77777777" w:rsidTr="00805C50">
        <w:trPr>
          <w:trHeight w:val="1967"/>
        </w:trPr>
        <w:tc>
          <w:tcPr>
            <w:tcW w:w="10662" w:type="dxa"/>
          </w:tcPr>
          <w:p w14:paraId="5BB2C7DD"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74AA4598" w14:textId="77777777" w:rsidR="00BD0650" w:rsidRPr="009A23A1" w:rsidRDefault="00BD0650" w:rsidP="00411BA8">
            <w:pPr>
              <w:pStyle w:val="GrupYazi"/>
              <w:spacing w:before="0" w:after="0" w:line="360" w:lineRule="auto"/>
              <w:ind w:left="709" w:hanging="709"/>
              <w:rPr>
                <w:rFonts w:ascii="Times New Roman" w:eastAsia="MS Gothic" w:hAnsi="Times New Roman"/>
                <w:sz w:val="24"/>
              </w:rPr>
            </w:pPr>
          </w:p>
          <w:p w14:paraId="433CD007" w14:textId="77777777" w:rsidR="004A1503" w:rsidRPr="004A1503" w:rsidRDefault="00BD4B91" w:rsidP="00BA4220">
            <w:pPr>
              <w:pStyle w:val="ListeParagraf"/>
              <w:numPr>
                <w:ilvl w:val="0"/>
                <w:numId w:val="11"/>
              </w:numPr>
              <w:spacing w:line="360" w:lineRule="auto"/>
              <w:ind w:left="709" w:hanging="709"/>
              <w:jc w:val="both"/>
              <w:rPr>
                <w:color w:val="000000" w:themeColor="text1"/>
                <w:shd w:val="clear" w:color="auto" w:fill="FFFFFF"/>
              </w:rPr>
            </w:pPr>
            <w:r w:rsidRPr="004A1503">
              <w:rPr>
                <w:color w:val="000000" w:themeColor="text1"/>
                <w:shd w:val="clear" w:color="auto" w:fill="FFFFFF"/>
              </w:rPr>
              <w:t xml:space="preserve">Her analiz numunesi için ilgili Analiz </w:t>
            </w:r>
            <w:r w:rsidR="00411BA8" w:rsidRPr="004A1503">
              <w:rPr>
                <w:color w:val="000000" w:themeColor="text1"/>
                <w:shd w:val="clear" w:color="auto" w:fill="FFFFFF"/>
              </w:rPr>
              <w:t xml:space="preserve">İstek Formu </w:t>
            </w:r>
            <w:r w:rsidRPr="004A1503">
              <w:rPr>
                <w:color w:val="000000" w:themeColor="text1"/>
                <w:shd w:val="clear" w:color="auto" w:fill="FFFFFF"/>
              </w:rPr>
              <w:t xml:space="preserve">eksiksiz </w:t>
            </w:r>
            <w:r w:rsidR="004A1503" w:rsidRPr="004A1503">
              <w:rPr>
                <w:color w:val="000000" w:themeColor="text1"/>
                <w:shd w:val="clear" w:color="auto" w:fill="FFFFFF"/>
              </w:rPr>
              <w:t>doldurulmalı ve imzalanmalıdır.</w:t>
            </w:r>
          </w:p>
          <w:p w14:paraId="0F058778" w14:textId="77777777" w:rsidR="000322A1" w:rsidRPr="000322A1" w:rsidRDefault="000322A1" w:rsidP="00BA4220">
            <w:pPr>
              <w:pStyle w:val="ListeParagraf"/>
              <w:numPr>
                <w:ilvl w:val="0"/>
                <w:numId w:val="11"/>
              </w:numPr>
              <w:spacing w:line="360" w:lineRule="auto"/>
              <w:ind w:left="709" w:hanging="709"/>
              <w:jc w:val="both"/>
            </w:pPr>
            <w:r w:rsidRPr="000322A1">
              <w:t xml:space="preserve">Numunelerin </w:t>
            </w:r>
            <w:proofErr w:type="spellStart"/>
            <w:r w:rsidRPr="000322A1">
              <w:t>AUMAULAB’a</w:t>
            </w:r>
            <w:proofErr w:type="spellEnd"/>
            <w:r w:rsidRPr="000322A1">
              <w:t xml:space="preserve"> getirilmesine kadar geçen sürede muhafazasının sorumluluğu müşteriye aittir.</w:t>
            </w:r>
          </w:p>
          <w:p w14:paraId="622AC1C9" w14:textId="77777777" w:rsidR="000322A1" w:rsidRPr="000322A1" w:rsidRDefault="000322A1" w:rsidP="00BA4220">
            <w:pPr>
              <w:pStyle w:val="ListeParagraf"/>
              <w:numPr>
                <w:ilvl w:val="0"/>
                <w:numId w:val="11"/>
              </w:numPr>
              <w:spacing w:line="360" w:lineRule="auto"/>
              <w:ind w:left="709" w:hanging="709"/>
              <w:jc w:val="both"/>
            </w:pPr>
            <w:r w:rsidRPr="000322A1">
              <w:t>Numunelerin özelliği bozulmadan uygun koşullarda laboratuvara ulaştırılmalıdır.</w:t>
            </w:r>
          </w:p>
          <w:p w14:paraId="1D5928E5"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Orijinal numuneyi temsil eden toz numune/numuneler plastik kaplarda, cam şişelerde veya santrifüj tüplerinde, ışığa hassas ise koyu renkli ambalajlarda ağzı kapalı olarak teslim edilmelidir. Numune kapları kontamine olmamış bir şekilde ve kontaminasyona yol açmayacak şekilde olmalıdır.</w:t>
            </w:r>
          </w:p>
          <w:p w14:paraId="008289C0"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Daha önce başka amaçlarda kullanılmış ve yıpranmış ambalajlarda getirilen numuneler kabul edilmez.</w:t>
            </w:r>
          </w:p>
          <w:p w14:paraId="2AEB32D7"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 xml:space="preserve">Çatlak, kırık ya da temiz bir görünüme sahip olmayan ambalajlar numunenin özelliklerini bozmuş olabileceğinden kabul edilmez. </w:t>
            </w:r>
          </w:p>
          <w:p w14:paraId="1C0A1C67"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Numune ambalajları numuneyi açıklayacak bilgileri içeren etik</w:t>
            </w:r>
            <w:r w:rsidR="00BA4220">
              <w:rPr>
                <w:rFonts w:eastAsia="MS Gothic"/>
              </w:rPr>
              <w:t xml:space="preserve">ete sahip olmalıdır. Numuneler </w:t>
            </w:r>
            <w:r w:rsidRPr="000322A1">
              <w:rPr>
                <w:rFonts w:eastAsia="MS Gothic"/>
              </w:rPr>
              <w:t>1’den başlanarak kodlanmalıdır. Deney raporunda sadece numune kodu belirtilecektir.</w:t>
            </w:r>
          </w:p>
          <w:p w14:paraId="4AF06689"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Termal analiz için numuneler toz, granül, film veya parçalar halinde getirilebilir.</w:t>
            </w:r>
          </w:p>
          <w:p w14:paraId="039A6011"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Numuneler 10 mg’dan az olmamalıdır.</w:t>
            </w:r>
          </w:p>
          <w:p w14:paraId="54641024"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 xml:space="preserve">Numunenin tahmini ölçüm süresi; analiz sırası söz konusu numuneye geldiği andan itibaren, analiz sahibinin belirlemiş olduğu deney parametrelerine göre 1 saat ile 1 gün arasında değişebilir. </w:t>
            </w:r>
          </w:p>
          <w:p w14:paraId="1DCC161D"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Aynı numune için farklı analiz talepleri olduğunda her analiz için numuneler ayrı ayrı teslim edilmelidir.</w:t>
            </w:r>
          </w:p>
          <w:p w14:paraId="397912A1" w14:textId="77777777" w:rsidR="000322A1" w:rsidRPr="000322A1" w:rsidRDefault="000322A1" w:rsidP="00BA4220">
            <w:pPr>
              <w:pStyle w:val="ListeParagraf"/>
              <w:numPr>
                <w:ilvl w:val="0"/>
                <w:numId w:val="11"/>
              </w:numPr>
              <w:spacing w:line="360" w:lineRule="auto"/>
              <w:ind w:left="709" w:hanging="709"/>
              <w:jc w:val="both"/>
              <w:rPr>
                <w:rFonts w:eastAsia="MS Gothic"/>
              </w:rPr>
            </w:pPr>
            <w:r w:rsidRPr="000322A1">
              <w:rPr>
                <w:rFonts w:eastAsia="MS Gothic"/>
              </w:rPr>
              <w:t xml:space="preserve">Numuneler için Deney İstek </w:t>
            </w:r>
            <w:proofErr w:type="spellStart"/>
            <w:r w:rsidRPr="000322A1">
              <w:rPr>
                <w:rFonts w:eastAsia="MS Gothic"/>
              </w:rPr>
              <w:t>Formu’ndaki</w:t>
            </w:r>
            <w:proofErr w:type="spellEnd"/>
            <w:r w:rsidRPr="000322A1">
              <w:rPr>
                <w:rFonts w:eastAsia="MS Gothic"/>
              </w:rPr>
              <w:t xml:space="preserve"> güvenlik bilgileri bölümü mutlaka doldurulmalı ve Malzeme Güvenlik Bilgileri (MSDS) ekte sunulmalıdır.</w:t>
            </w:r>
          </w:p>
          <w:p w14:paraId="74CC77E3" w14:textId="77777777" w:rsidR="007E1CDF" w:rsidRDefault="007E1CDF" w:rsidP="00BA4220">
            <w:pPr>
              <w:pStyle w:val="ListeParagraf"/>
              <w:numPr>
                <w:ilvl w:val="0"/>
                <w:numId w:val="11"/>
              </w:numPr>
              <w:spacing w:line="360" w:lineRule="auto"/>
              <w:ind w:left="709" w:hanging="709"/>
              <w:jc w:val="both"/>
              <w:rPr>
                <w:rFonts w:eastAsia="MS Gothic"/>
              </w:rPr>
            </w:pPr>
            <w:r w:rsidRPr="007E1CDF">
              <w:rPr>
                <w:rFonts w:eastAsia="MS Gothic"/>
              </w:rPr>
              <w:lastRenderedPageBreak/>
              <w:t>Numunelere bağlı olarak numune kaplarında oluşan kirlilikten dolayı numune kaplarının ücretleri tahsil edilecektir.</w:t>
            </w:r>
          </w:p>
          <w:p w14:paraId="632031A7" w14:textId="77777777" w:rsidR="00411BA8" w:rsidRPr="00411BA8" w:rsidRDefault="00411BA8" w:rsidP="00BA4220">
            <w:pPr>
              <w:pStyle w:val="ListeParagraf"/>
              <w:numPr>
                <w:ilvl w:val="0"/>
                <w:numId w:val="11"/>
              </w:numPr>
              <w:spacing w:line="360" w:lineRule="auto"/>
              <w:ind w:left="709" w:hanging="709"/>
              <w:jc w:val="both"/>
              <w:rPr>
                <w:rFonts w:eastAsia="MS Gothic"/>
              </w:rPr>
            </w:pPr>
            <w:r w:rsidRPr="00411BA8">
              <w:rPr>
                <w:rFonts w:eastAsia="MS Gothic"/>
              </w:rPr>
              <w:t xml:space="preserve">Deney ve hizmet ücretinin ödendiğine dair fatura ibraz edilmeden deney raporu düzenlenmez. </w:t>
            </w:r>
          </w:p>
          <w:p w14:paraId="651DCCFA" w14:textId="77777777" w:rsidR="006F74BA" w:rsidRPr="006F74BA" w:rsidRDefault="006F74BA" w:rsidP="00BA4220">
            <w:pPr>
              <w:pStyle w:val="ListeParagraf"/>
              <w:numPr>
                <w:ilvl w:val="0"/>
                <w:numId w:val="11"/>
              </w:numPr>
              <w:spacing w:line="360" w:lineRule="auto"/>
              <w:ind w:left="709" w:hanging="709"/>
              <w:jc w:val="both"/>
              <w:rPr>
                <w:rFonts w:eastAsia="MS Gothic"/>
                <w:b/>
              </w:rPr>
            </w:pPr>
            <w:r w:rsidRPr="006F74BA">
              <w:rPr>
                <w:rFonts w:eastAsia="MS Gothic"/>
                <w:b/>
              </w:rPr>
              <w:t>Deney sonuçlarının tezde, bilimsel bir yayında ya da kitapta kullanılması halinde bu deneylerin yap</w:t>
            </w:r>
            <w:r>
              <w:rPr>
                <w:rFonts w:eastAsia="MS Gothic"/>
                <w:b/>
              </w:rPr>
              <w:t xml:space="preserve">ıldığı yerin AUMAULAB olduğunun </w:t>
            </w:r>
            <w:r w:rsidRPr="006F74BA">
              <w:rPr>
                <w:rFonts w:eastAsia="MS Gothic"/>
                <w:b/>
              </w:rPr>
              <w:t xml:space="preserve">belirtilmesi gerekmektedir. </w:t>
            </w:r>
          </w:p>
          <w:p w14:paraId="434D6F95" w14:textId="77777777" w:rsidR="006F74BA" w:rsidRDefault="00BD4B91" w:rsidP="00BA4220">
            <w:pPr>
              <w:pStyle w:val="ListeParagraf"/>
              <w:numPr>
                <w:ilvl w:val="0"/>
                <w:numId w:val="11"/>
              </w:numPr>
              <w:spacing w:line="360" w:lineRule="auto"/>
              <w:ind w:left="709" w:hanging="709"/>
              <w:jc w:val="both"/>
              <w:rPr>
                <w:bCs/>
                <w:spacing w:val="-3"/>
              </w:rPr>
            </w:pPr>
            <w:r w:rsidRPr="004A1503">
              <w:rPr>
                <w:bCs/>
                <w:spacing w:val="-3"/>
              </w:rPr>
              <w:t xml:space="preserve">Yapılacak analiz süresi örneklerin kabul edildiği tarihinden itibaren en fazla </w:t>
            </w:r>
            <w:r w:rsidR="005D50FD">
              <w:rPr>
                <w:bCs/>
                <w:spacing w:val="-3"/>
              </w:rPr>
              <w:t>30</w:t>
            </w:r>
            <w:r w:rsidRPr="004A1503">
              <w:rPr>
                <w:bCs/>
                <w:spacing w:val="-3"/>
              </w:rPr>
              <w:t xml:space="preserve"> iş günüdür. İş </w:t>
            </w:r>
            <w:r w:rsidR="006F74BA">
              <w:rPr>
                <w:bCs/>
                <w:spacing w:val="-3"/>
              </w:rPr>
              <w:t xml:space="preserve">  </w:t>
            </w:r>
          </w:p>
          <w:p w14:paraId="0CBE7C07" w14:textId="77777777" w:rsidR="006F74BA" w:rsidRDefault="006F74BA" w:rsidP="00BA4220">
            <w:pPr>
              <w:pStyle w:val="ListeParagraf"/>
              <w:spacing w:line="360" w:lineRule="auto"/>
              <w:ind w:left="709" w:hanging="709"/>
              <w:jc w:val="both"/>
              <w:rPr>
                <w:bCs/>
                <w:spacing w:val="-3"/>
              </w:rPr>
            </w:pPr>
            <w:r>
              <w:rPr>
                <w:bCs/>
                <w:spacing w:val="-3"/>
              </w:rPr>
              <w:t xml:space="preserve">             </w:t>
            </w:r>
            <w:proofErr w:type="gramStart"/>
            <w:r w:rsidR="00BD4B91" w:rsidRPr="004A1503">
              <w:rPr>
                <w:bCs/>
                <w:spacing w:val="-3"/>
              </w:rPr>
              <w:t>yoğunluğuna</w:t>
            </w:r>
            <w:proofErr w:type="gramEnd"/>
            <w:r w:rsidR="00BD4B91" w:rsidRPr="004A1503">
              <w:rPr>
                <w:bCs/>
                <w:spacing w:val="-3"/>
              </w:rPr>
              <w:t xml:space="preserve"> göre analiz süresi uzayabilir. Cihaz arızası, iş yoğunluğu vb. sebeplerle herhangi bir </w:t>
            </w:r>
            <w:r>
              <w:rPr>
                <w:bCs/>
                <w:spacing w:val="-3"/>
              </w:rPr>
              <w:t xml:space="preserve">   </w:t>
            </w:r>
          </w:p>
          <w:p w14:paraId="02A8C44E" w14:textId="77777777" w:rsidR="00BD4B91" w:rsidRPr="009A23A1" w:rsidRDefault="006F74BA" w:rsidP="00805C50">
            <w:pPr>
              <w:pStyle w:val="ListeParagraf"/>
              <w:spacing w:line="360" w:lineRule="auto"/>
              <w:ind w:left="709" w:hanging="709"/>
              <w:jc w:val="both"/>
              <w:rPr>
                <w:rFonts w:eastAsia="MS Gothic"/>
              </w:rPr>
            </w:pPr>
            <w:r>
              <w:rPr>
                <w:bCs/>
                <w:spacing w:val="-3"/>
              </w:rPr>
              <w:t xml:space="preserve">             </w:t>
            </w:r>
            <w:proofErr w:type="gramStart"/>
            <w:r w:rsidR="00BD4B91" w:rsidRPr="004A1503">
              <w:rPr>
                <w:bCs/>
                <w:spacing w:val="-3"/>
              </w:rPr>
              <w:t>gecikme</w:t>
            </w:r>
            <w:proofErr w:type="gramEnd"/>
            <w:r w:rsidR="00BD4B91" w:rsidRPr="004A1503">
              <w:rPr>
                <w:bCs/>
                <w:spacing w:val="-3"/>
              </w:rPr>
              <w:t xml:space="preserve"> olması durumunda bilgilendirme yapılacaktır.</w:t>
            </w:r>
          </w:p>
        </w:tc>
      </w:tr>
    </w:tbl>
    <w:p w14:paraId="7D62D30F" w14:textId="77777777" w:rsidR="00805C50" w:rsidRDefault="00805C50"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05C50" w:rsidRPr="00A037DB" w14:paraId="37D22805" w14:textId="77777777" w:rsidTr="00B46ACA">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5347F1D1" w14:textId="77777777" w:rsidR="00805C50" w:rsidRPr="00A037DB" w:rsidRDefault="00805C50" w:rsidP="00B46ACA">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0A14B313" w14:textId="77777777" w:rsidR="00805C50" w:rsidRPr="00A037DB" w:rsidRDefault="00805C50" w:rsidP="00B46ACA">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572692B4" w14:textId="77777777" w:rsidR="00805C50" w:rsidRPr="00A037DB" w:rsidRDefault="00805C50" w:rsidP="00B46ACA">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7DD6E312" w14:textId="77777777" w:rsidR="00805C50" w:rsidRPr="00A037DB" w:rsidRDefault="00805C50" w:rsidP="00B46ACA">
            <w:pPr>
              <w:spacing w:line="276" w:lineRule="auto"/>
              <w:jc w:val="center"/>
              <w:rPr>
                <w:b/>
                <w:bCs/>
                <w:color w:val="000000"/>
                <w:sz w:val="22"/>
                <w:szCs w:val="22"/>
                <w:lang w:eastAsia="en-US"/>
              </w:rPr>
            </w:pPr>
            <w:r w:rsidRPr="00A037DB">
              <w:rPr>
                <w:b/>
                <w:bCs/>
                <w:color w:val="000000"/>
                <w:sz w:val="22"/>
                <w:szCs w:val="22"/>
                <w:lang w:eastAsia="en-US"/>
              </w:rPr>
              <w:t>AÇIKLAMA</w:t>
            </w:r>
          </w:p>
        </w:tc>
      </w:tr>
      <w:tr w:rsidR="00805C50" w:rsidRPr="00A037DB" w14:paraId="7D881F0D"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145612AC"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45171591"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1A347A6"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0007B55"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5B416507"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6A1C383F"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57A6B2E9"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12A6F4F"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3FCFB4C"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2ABCC384"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76CDB640"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4CD5A6FE"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B742DEC"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31293CB"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7196B49C"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26A560AB"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317A3F10"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9D21278"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B1B4E46"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2E24A6B7"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3D9BB511"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197E1256"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49239D2"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8C0F931"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2F88EDBE"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4F1C931F"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1644E188"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B8CED01"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86D2DF6"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686CA91B"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33154E6B"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536E21C8"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312D75D"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4DCDF3B"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087150C1"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2BA0665F"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43842420"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F6AC2C1"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DBE4BDD"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29A5B701"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7E33AC24"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1F5FCB7B"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90DDE76"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641C3838"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67E0BB47" w14:textId="77777777" w:rsidTr="00B46ACA">
        <w:trPr>
          <w:trHeight w:val="450"/>
        </w:trPr>
        <w:tc>
          <w:tcPr>
            <w:tcW w:w="984" w:type="dxa"/>
            <w:tcBorders>
              <w:top w:val="nil"/>
              <w:left w:val="single" w:sz="4" w:space="0" w:color="auto"/>
              <w:bottom w:val="single" w:sz="4" w:space="0" w:color="auto"/>
              <w:right w:val="single" w:sz="4" w:space="0" w:color="auto"/>
            </w:tcBorders>
            <w:vAlign w:val="center"/>
            <w:hideMark/>
          </w:tcPr>
          <w:p w14:paraId="556A621A"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6D4256E2" w14:textId="77777777" w:rsidR="00805C50" w:rsidRPr="00A037DB" w:rsidRDefault="00805C50" w:rsidP="00B46ACA">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50C1B55"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C814FD6" w14:textId="77777777" w:rsidR="00805C50" w:rsidRPr="00A037DB" w:rsidRDefault="00805C50" w:rsidP="00B46ACA">
            <w:pPr>
              <w:spacing w:line="276" w:lineRule="auto"/>
              <w:jc w:val="center"/>
              <w:rPr>
                <w:color w:val="000000"/>
                <w:sz w:val="22"/>
                <w:szCs w:val="22"/>
                <w:lang w:eastAsia="en-US"/>
              </w:rPr>
            </w:pPr>
            <w:r w:rsidRPr="00A037DB">
              <w:rPr>
                <w:color w:val="000000"/>
                <w:sz w:val="22"/>
                <w:szCs w:val="22"/>
                <w:lang w:eastAsia="en-US"/>
              </w:rPr>
              <w:t> </w:t>
            </w:r>
          </w:p>
        </w:tc>
      </w:tr>
      <w:tr w:rsidR="00805C50" w:rsidRPr="00A037DB" w14:paraId="6C0B2A0E" w14:textId="77777777" w:rsidTr="00B46ACA">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37D7A45" w14:textId="77777777" w:rsidR="00805C50" w:rsidRPr="0082695B" w:rsidRDefault="00805C50" w:rsidP="00805C50">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6FC87CFC" w14:textId="77777777" w:rsidR="00805C50" w:rsidRPr="0082695B" w:rsidRDefault="00805C50" w:rsidP="00805C50">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796FBA2B" w14:textId="77777777" w:rsidR="00805C50" w:rsidRPr="0082695B" w:rsidRDefault="00805C50" w:rsidP="00805C50">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4E45EFBE" w14:textId="77777777" w:rsidR="00805C50" w:rsidRPr="0082695B" w:rsidRDefault="00805C50" w:rsidP="00805C50">
            <w:pPr>
              <w:pStyle w:val="ListeParagraf"/>
              <w:numPr>
                <w:ilvl w:val="0"/>
                <w:numId w:val="14"/>
              </w:numPr>
              <w:ind w:left="0" w:firstLine="0"/>
              <w:jc w:val="both"/>
              <w:rPr>
                <w:color w:val="000000"/>
                <w:sz w:val="22"/>
                <w:szCs w:val="22"/>
                <w:lang w:eastAsia="en-US"/>
              </w:rPr>
            </w:pPr>
            <w:r w:rsidRPr="0082695B">
              <w:rPr>
                <w:color w:val="000000"/>
                <w:sz w:val="22"/>
                <w:szCs w:val="22"/>
                <w:lang w:eastAsia="en-US"/>
              </w:rPr>
              <w:lastRenderedPageBreak/>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05C50" w:rsidRPr="00A037DB" w14:paraId="15D39A6C" w14:textId="77777777" w:rsidTr="00B46ACA">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035959B8" w14:textId="77777777" w:rsidR="00805C50" w:rsidRPr="00A037DB" w:rsidRDefault="00805C50" w:rsidP="00B46ACA">
            <w:pPr>
              <w:rPr>
                <w:color w:val="000000"/>
                <w:sz w:val="22"/>
                <w:szCs w:val="22"/>
                <w:lang w:eastAsia="en-US"/>
              </w:rPr>
            </w:pPr>
          </w:p>
        </w:tc>
      </w:tr>
      <w:tr w:rsidR="00805C50" w:rsidRPr="00A037DB" w14:paraId="03861393" w14:textId="77777777" w:rsidTr="00B46ACA">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71D7EC03" w14:textId="77777777" w:rsidR="00805C50" w:rsidRPr="00A037DB" w:rsidRDefault="00805C50" w:rsidP="00B46ACA">
            <w:pPr>
              <w:rPr>
                <w:color w:val="000000"/>
                <w:sz w:val="22"/>
                <w:szCs w:val="22"/>
                <w:lang w:eastAsia="en-US"/>
              </w:rPr>
            </w:pPr>
          </w:p>
        </w:tc>
      </w:tr>
    </w:tbl>
    <w:p w14:paraId="49A991D8" w14:textId="77777777" w:rsidR="00805C50" w:rsidRPr="009A23A1" w:rsidRDefault="00805C50" w:rsidP="004A1503">
      <w:pPr>
        <w:rPr>
          <w:b/>
          <w:bCs/>
          <w:spacing w:val="-3"/>
        </w:rPr>
      </w:pPr>
    </w:p>
    <w:sectPr w:rsidR="00805C50"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B169" w14:textId="77777777" w:rsidR="00D36331" w:rsidRDefault="00D36331" w:rsidP="00BD4B91">
      <w:r>
        <w:separator/>
      </w:r>
    </w:p>
  </w:endnote>
  <w:endnote w:type="continuationSeparator" w:id="0">
    <w:p w14:paraId="4C27A4EE" w14:textId="77777777" w:rsidR="00D36331" w:rsidRDefault="00D36331"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5745" w14:textId="77777777" w:rsidR="00EF5995" w:rsidRDefault="00EF59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CBDE"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32"/>
      <w:gridCol w:w="2241"/>
      <w:gridCol w:w="2411"/>
      <w:gridCol w:w="3342"/>
    </w:tblGrid>
    <w:tr w:rsidR="009A23A1" w:rsidRPr="009A23A1" w14:paraId="378D93B3" w14:textId="77777777" w:rsidTr="00EF5995">
      <w:trPr>
        <w:jc w:val="center"/>
      </w:trPr>
      <w:tc>
        <w:tcPr>
          <w:tcW w:w="10526" w:type="dxa"/>
          <w:gridSpan w:val="4"/>
        </w:tcPr>
        <w:p w14:paraId="134ACC55"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76795614" w14:textId="77777777" w:rsidTr="00EF5995">
      <w:trPr>
        <w:jc w:val="center"/>
      </w:trPr>
      <w:tc>
        <w:tcPr>
          <w:tcW w:w="2532" w:type="dxa"/>
        </w:tcPr>
        <w:p w14:paraId="4D68040E" w14:textId="77777777" w:rsidR="009A23A1" w:rsidRPr="009A23A1" w:rsidRDefault="009A23A1" w:rsidP="009A23A1">
          <w:pPr>
            <w:rPr>
              <w:b/>
              <w:sz w:val="22"/>
            </w:rPr>
          </w:pPr>
          <w:r w:rsidRPr="009A23A1">
            <w:rPr>
              <w:b/>
              <w:sz w:val="22"/>
            </w:rPr>
            <w:t>Evrak Kayıt No</w:t>
          </w:r>
        </w:p>
      </w:tc>
      <w:tc>
        <w:tcPr>
          <w:tcW w:w="2241" w:type="dxa"/>
          <w:vAlign w:val="center"/>
        </w:tcPr>
        <w:p w14:paraId="2A70789C" w14:textId="77777777" w:rsidR="009A23A1" w:rsidRPr="009A23A1" w:rsidRDefault="009A23A1" w:rsidP="009A23A1">
          <w:pPr>
            <w:pStyle w:val="GrupYazi"/>
            <w:snapToGrid w:val="0"/>
            <w:spacing w:before="0" w:after="0"/>
            <w:rPr>
              <w:rFonts w:ascii="Times New Roman" w:hAnsi="Times New Roman"/>
              <w:b/>
              <w:sz w:val="22"/>
            </w:rPr>
          </w:pPr>
        </w:p>
      </w:tc>
      <w:tc>
        <w:tcPr>
          <w:tcW w:w="2411" w:type="dxa"/>
          <w:vAlign w:val="center"/>
        </w:tcPr>
        <w:p w14:paraId="37CFC540"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42" w:type="dxa"/>
          <w:vAlign w:val="center"/>
        </w:tcPr>
        <w:p w14:paraId="38CEF427"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1C5085D6" w14:textId="77777777" w:rsidTr="00EF5995">
      <w:trPr>
        <w:jc w:val="center"/>
      </w:trPr>
      <w:tc>
        <w:tcPr>
          <w:tcW w:w="2532" w:type="dxa"/>
          <w:vAlign w:val="center"/>
        </w:tcPr>
        <w:p w14:paraId="27E83C45"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41" w:type="dxa"/>
          <w:vAlign w:val="center"/>
        </w:tcPr>
        <w:p w14:paraId="135CF86A" w14:textId="77777777" w:rsidR="009A23A1" w:rsidRPr="009A23A1" w:rsidRDefault="009A23A1" w:rsidP="009A23A1">
          <w:pPr>
            <w:pStyle w:val="GrupYazi"/>
            <w:snapToGrid w:val="0"/>
            <w:spacing w:before="0" w:after="0"/>
            <w:rPr>
              <w:rFonts w:ascii="Times New Roman" w:hAnsi="Times New Roman"/>
              <w:b/>
              <w:sz w:val="22"/>
            </w:rPr>
          </w:pPr>
        </w:p>
      </w:tc>
      <w:tc>
        <w:tcPr>
          <w:tcW w:w="2411" w:type="dxa"/>
          <w:vMerge w:val="restart"/>
          <w:vAlign w:val="center"/>
        </w:tcPr>
        <w:p w14:paraId="70B2A9B6"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11259598"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Ad, </w:t>
          </w:r>
          <w:proofErr w:type="spellStart"/>
          <w:r w:rsidRPr="009A23A1">
            <w:rPr>
              <w:rFonts w:ascii="Times New Roman" w:hAnsi="Times New Roman"/>
              <w:b/>
              <w:sz w:val="22"/>
            </w:rPr>
            <w:t>Soyad</w:t>
          </w:r>
          <w:proofErr w:type="spellEnd"/>
          <w:r w:rsidRPr="009A23A1">
            <w:rPr>
              <w:rFonts w:ascii="Times New Roman" w:hAnsi="Times New Roman"/>
              <w:b/>
              <w:sz w:val="22"/>
            </w:rPr>
            <w:t xml:space="preserve"> ve İmza</w:t>
          </w:r>
        </w:p>
      </w:tc>
      <w:tc>
        <w:tcPr>
          <w:tcW w:w="3342" w:type="dxa"/>
          <w:vMerge w:val="restart"/>
          <w:vAlign w:val="center"/>
        </w:tcPr>
        <w:p w14:paraId="69E8A00A"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20386597" w14:textId="77777777" w:rsidTr="00EF5995">
      <w:trPr>
        <w:jc w:val="center"/>
      </w:trPr>
      <w:tc>
        <w:tcPr>
          <w:tcW w:w="2532" w:type="dxa"/>
          <w:vAlign w:val="center"/>
        </w:tcPr>
        <w:p w14:paraId="582B334A"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41" w:type="dxa"/>
          <w:vAlign w:val="center"/>
        </w:tcPr>
        <w:p w14:paraId="0C5B81D7" w14:textId="77777777" w:rsidR="009A23A1" w:rsidRPr="009A23A1" w:rsidRDefault="009A23A1" w:rsidP="009A23A1">
          <w:pPr>
            <w:pStyle w:val="GrupYazi"/>
            <w:snapToGrid w:val="0"/>
            <w:spacing w:before="0" w:after="0"/>
            <w:rPr>
              <w:rFonts w:ascii="Times New Roman" w:hAnsi="Times New Roman"/>
              <w:b/>
              <w:sz w:val="22"/>
            </w:rPr>
          </w:pPr>
        </w:p>
      </w:tc>
      <w:tc>
        <w:tcPr>
          <w:tcW w:w="2411" w:type="dxa"/>
          <w:vMerge/>
          <w:vAlign w:val="center"/>
        </w:tcPr>
        <w:p w14:paraId="2D90D46C" w14:textId="77777777" w:rsidR="009A23A1" w:rsidRPr="009A23A1" w:rsidRDefault="009A23A1" w:rsidP="009A23A1">
          <w:pPr>
            <w:pStyle w:val="GrupYazi"/>
            <w:snapToGrid w:val="0"/>
            <w:spacing w:before="0" w:after="0"/>
            <w:rPr>
              <w:rFonts w:ascii="Times New Roman" w:hAnsi="Times New Roman"/>
              <w:b/>
              <w:sz w:val="22"/>
            </w:rPr>
          </w:pPr>
        </w:p>
      </w:tc>
      <w:tc>
        <w:tcPr>
          <w:tcW w:w="3342" w:type="dxa"/>
          <w:vMerge/>
          <w:vAlign w:val="center"/>
        </w:tcPr>
        <w:p w14:paraId="2831F95E" w14:textId="77777777" w:rsidR="009A23A1" w:rsidRPr="009A23A1" w:rsidRDefault="009A23A1" w:rsidP="009A23A1">
          <w:pPr>
            <w:pStyle w:val="GrupYazi"/>
            <w:snapToGrid w:val="0"/>
            <w:spacing w:before="0" w:after="0"/>
            <w:rPr>
              <w:rFonts w:ascii="Times New Roman" w:hAnsi="Times New Roman"/>
              <w:b/>
              <w:sz w:val="22"/>
            </w:rPr>
          </w:pPr>
        </w:p>
      </w:tc>
    </w:tr>
  </w:tbl>
  <w:p w14:paraId="093EECC9" w14:textId="77777777" w:rsidR="00EF5995" w:rsidRDefault="00EF5995" w:rsidP="00EF5995">
    <w:pPr>
      <w:pStyle w:val="AltBilgi"/>
      <w:ind w:right="-653"/>
      <w:rPr>
        <w:sz w:val="20"/>
        <w:szCs w:val="20"/>
      </w:rPr>
    </w:pPr>
  </w:p>
  <w:p w14:paraId="0FA939F3" w14:textId="6E25A03E" w:rsidR="00EF5995" w:rsidRDefault="00EC5D93" w:rsidP="00EF5995">
    <w:pPr>
      <w:pStyle w:val="AltBilgi"/>
      <w:ind w:right="-653"/>
      <w:rPr>
        <w:sz w:val="20"/>
        <w:szCs w:val="20"/>
      </w:rPr>
    </w:pPr>
    <w:r w:rsidRPr="00EC5D93">
      <w:rPr>
        <w:sz w:val="20"/>
        <w:szCs w:val="20"/>
      </w:rPr>
      <w:t>KYS-FRM-349</w:t>
    </w:r>
    <w:r w:rsidR="00EF5995">
      <w:rPr>
        <w:sz w:val="20"/>
        <w:szCs w:val="20"/>
      </w:rPr>
      <w:t>/00</w:t>
    </w:r>
    <w:r w:rsidR="00EF5995">
      <w:rPr>
        <w:sz w:val="20"/>
        <w:szCs w:val="20"/>
      </w:rPr>
      <w:tab/>
    </w:r>
    <w:r w:rsidR="00EF5995">
      <w:rPr>
        <w:sz w:val="20"/>
        <w:szCs w:val="20"/>
      </w:rPr>
      <w:tab/>
      <w:t xml:space="preserve">        Tel: 0 (358) 218 01 60/4853-4855-4858</w:t>
    </w:r>
  </w:p>
  <w:p w14:paraId="6A20E230" w14:textId="77777777" w:rsidR="00EF5995" w:rsidRDefault="00EF5995" w:rsidP="00EF5995">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0A922D26" w14:textId="77777777" w:rsidR="00EF5995" w:rsidRDefault="00EF5995" w:rsidP="00EF5995">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24DAB8E3" w14:textId="77777777" w:rsidR="00EF5995" w:rsidRDefault="00EF5995" w:rsidP="00EF5995">
    <w:pPr>
      <w:pStyle w:val="AltBilgi"/>
      <w:ind w:right="-653" w:firstLine="567"/>
      <w:rPr>
        <w:sz w:val="20"/>
        <w:szCs w:val="20"/>
      </w:rPr>
    </w:pPr>
    <w:r>
      <w:rPr>
        <w:sz w:val="20"/>
        <w:szCs w:val="20"/>
      </w:rPr>
      <w:tab/>
      <w:t xml:space="preserve">                                                                                                                  05100 İPEKKÖY / AMASYA</w:t>
    </w:r>
  </w:p>
  <w:p w14:paraId="2E9E0E8C" w14:textId="77777777" w:rsidR="009A23A1" w:rsidRDefault="009A23A1">
    <w:pPr>
      <w:pStyle w:val="AltBilgi"/>
    </w:pPr>
  </w:p>
  <w:p w14:paraId="00A0EFA6"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B557" w14:textId="77777777" w:rsidR="00EF5995" w:rsidRDefault="00EF59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CC07" w14:textId="77777777" w:rsidR="00D36331" w:rsidRDefault="00D36331" w:rsidP="00BD4B91">
      <w:r>
        <w:separator/>
      </w:r>
    </w:p>
  </w:footnote>
  <w:footnote w:type="continuationSeparator" w:id="0">
    <w:p w14:paraId="50A6E95F" w14:textId="77777777" w:rsidR="00D36331" w:rsidRDefault="00D36331"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FD7D" w14:textId="77777777" w:rsidR="00EF5995" w:rsidRDefault="00EF59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8"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050"/>
    </w:tblGrid>
    <w:tr w:rsidR="00EF5995" w14:paraId="4A63792F" w14:textId="77777777" w:rsidTr="00EF5995">
      <w:trPr>
        <w:cantSplit/>
        <w:trHeight w:val="1249"/>
      </w:trPr>
      <w:tc>
        <w:tcPr>
          <w:tcW w:w="755" w:type="pct"/>
          <w:tcBorders>
            <w:top w:val="double" w:sz="4" w:space="0" w:color="auto"/>
            <w:left w:val="double" w:sz="4" w:space="0" w:color="auto"/>
            <w:bottom w:val="double" w:sz="4" w:space="0" w:color="auto"/>
            <w:right w:val="double" w:sz="4" w:space="0" w:color="auto"/>
          </w:tcBorders>
          <w:vAlign w:val="center"/>
          <w:hideMark/>
        </w:tcPr>
        <w:p w14:paraId="039A3950" w14:textId="216C959B" w:rsidR="00EF5995" w:rsidRDefault="00970A83" w:rsidP="00EF5995">
          <w:pPr>
            <w:pStyle w:val="NormalWeb"/>
            <w:spacing w:line="276" w:lineRule="auto"/>
            <w:jc w:val="center"/>
            <w:rPr>
              <w:rFonts w:ascii="Century Gothic" w:hAnsi="Century Gothic"/>
              <w:sz w:val="20"/>
              <w:szCs w:val="20"/>
              <w:lang w:eastAsia="en-US"/>
            </w:rPr>
          </w:pPr>
          <w:r>
            <w:rPr>
              <w:noProof/>
            </w:rPr>
            <w:drawing>
              <wp:inline distT="0" distB="0" distL="0" distR="0" wp14:anchorId="64B87908" wp14:editId="2936411C">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45" w:type="pct"/>
          <w:tcBorders>
            <w:top w:val="double" w:sz="4" w:space="0" w:color="auto"/>
            <w:left w:val="double" w:sz="4" w:space="0" w:color="auto"/>
            <w:bottom w:val="double" w:sz="4" w:space="0" w:color="auto"/>
            <w:right w:val="double" w:sz="4" w:space="0" w:color="auto"/>
          </w:tcBorders>
          <w:vAlign w:val="center"/>
          <w:hideMark/>
        </w:tcPr>
        <w:p w14:paraId="4E956B9B" w14:textId="77777777" w:rsidR="00EF5995" w:rsidRDefault="00EF5995" w:rsidP="00EF5995">
          <w:pPr>
            <w:pStyle w:val="NormalWeb"/>
            <w:spacing w:line="276" w:lineRule="auto"/>
            <w:jc w:val="center"/>
            <w:rPr>
              <w:b/>
              <w:bCs/>
              <w:sz w:val="32"/>
              <w:szCs w:val="32"/>
              <w:lang w:eastAsia="en-US"/>
            </w:rPr>
          </w:pPr>
          <w:r>
            <w:rPr>
              <w:b/>
              <w:bCs/>
              <w:sz w:val="32"/>
              <w:szCs w:val="32"/>
              <w:lang w:eastAsia="en-US"/>
            </w:rPr>
            <w:t>AMASYA ÜNİVERSİTESİ</w:t>
          </w:r>
        </w:p>
        <w:p w14:paraId="554E0654" w14:textId="77777777" w:rsidR="00EF5995" w:rsidRDefault="00EF5995" w:rsidP="00EF5995">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2D55A95F" w14:textId="77777777" w:rsidR="00EF5995" w:rsidRDefault="00EF5995" w:rsidP="00EF5995">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634ADF40" w14:textId="6B7B6DCC" w:rsidR="00EF5995" w:rsidRDefault="00EF5995" w:rsidP="00EF5995">
          <w:pPr>
            <w:pStyle w:val="NormalWeb"/>
            <w:spacing w:line="276" w:lineRule="auto"/>
            <w:jc w:val="center"/>
            <w:rPr>
              <w:b/>
              <w:bCs/>
              <w:sz w:val="20"/>
              <w:szCs w:val="20"/>
              <w:lang w:eastAsia="en-US"/>
            </w:rPr>
          </w:pPr>
          <w:r w:rsidRPr="00EF5995">
            <w:rPr>
              <w:b/>
              <w:bCs/>
              <w:spacing w:val="-3"/>
            </w:rPr>
            <w:t>TERMOGRAVİMETRİK ANALİZ İSTEK FORMU</w:t>
          </w:r>
        </w:p>
      </w:tc>
    </w:tr>
  </w:tbl>
  <w:p w14:paraId="5ABE09E0" w14:textId="342D3CD5"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F3AA" w14:textId="77777777" w:rsidR="00EF5995" w:rsidRDefault="00EF599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874341097">
    <w:abstractNumId w:val="1"/>
  </w:num>
  <w:num w:numId="2" w16cid:durableId="74133447">
    <w:abstractNumId w:val="7"/>
  </w:num>
  <w:num w:numId="3" w16cid:durableId="1748573245">
    <w:abstractNumId w:val="13"/>
  </w:num>
  <w:num w:numId="4" w16cid:durableId="436877578">
    <w:abstractNumId w:val="8"/>
  </w:num>
  <w:num w:numId="5" w16cid:durableId="1100833451">
    <w:abstractNumId w:val="2"/>
  </w:num>
  <w:num w:numId="6" w16cid:durableId="558902935">
    <w:abstractNumId w:val="11"/>
  </w:num>
  <w:num w:numId="7" w16cid:durableId="87511117">
    <w:abstractNumId w:val="5"/>
  </w:num>
  <w:num w:numId="8" w16cid:durableId="1038971281">
    <w:abstractNumId w:val="3"/>
  </w:num>
  <w:num w:numId="9" w16cid:durableId="1678070451">
    <w:abstractNumId w:val="6"/>
  </w:num>
  <w:num w:numId="10" w16cid:durableId="1309749488">
    <w:abstractNumId w:val="4"/>
  </w:num>
  <w:num w:numId="11" w16cid:durableId="486357630">
    <w:abstractNumId w:val="9"/>
  </w:num>
  <w:num w:numId="12" w16cid:durableId="1951207370">
    <w:abstractNumId w:val="0"/>
  </w:num>
  <w:num w:numId="13" w16cid:durableId="970984994">
    <w:abstractNumId w:val="10"/>
  </w:num>
  <w:num w:numId="14" w16cid:durableId="1100488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209B9"/>
    <w:rsid w:val="000322A1"/>
    <w:rsid w:val="00045CDC"/>
    <w:rsid w:val="000A32D0"/>
    <w:rsid w:val="00116048"/>
    <w:rsid w:val="001515D0"/>
    <w:rsid w:val="00161418"/>
    <w:rsid w:val="001C306D"/>
    <w:rsid w:val="001C54FF"/>
    <w:rsid w:val="00215663"/>
    <w:rsid w:val="0024602D"/>
    <w:rsid w:val="002D2E4B"/>
    <w:rsid w:val="002E5C73"/>
    <w:rsid w:val="003741B5"/>
    <w:rsid w:val="003771CC"/>
    <w:rsid w:val="003A1947"/>
    <w:rsid w:val="003B525D"/>
    <w:rsid w:val="003E43AD"/>
    <w:rsid w:val="003F219D"/>
    <w:rsid w:val="003F28DC"/>
    <w:rsid w:val="00405C61"/>
    <w:rsid w:val="00411BA8"/>
    <w:rsid w:val="00412D88"/>
    <w:rsid w:val="00422E47"/>
    <w:rsid w:val="00454035"/>
    <w:rsid w:val="004A1503"/>
    <w:rsid w:val="004C0F7F"/>
    <w:rsid w:val="004C13FB"/>
    <w:rsid w:val="004F498B"/>
    <w:rsid w:val="00560888"/>
    <w:rsid w:val="00584BAE"/>
    <w:rsid w:val="005B2620"/>
    <w:rsid w:val="005D50FD"/>
    <w:rsid w:val="0061689A"/>
    <w:rsid w:val="0062219C"/>
    <w:rsid w:val="00657F9A"/>
    <w:rsid w:val="00676940"/>
    <w:rsid w:val="00693D7F"/>
    <w:rsid w:val="006F74BA"/>
    <w:rsid w:val="007137A5"/>
    <w:rsid w:val="0073186A"/>
    <w:rsid w:val="00750B07"/>
    <w:rsid w:val="007712BB"/>
    <w:rsid w:val="00793CA5"/>
    <w:rsid w:val="007E1CDF"/>
    <w:rsid w:val="007F12D0"/>
    <w:rsid w:val="007F5A98"/>
    <w:rsid w:val="00805C50"/>
    <w:rsid w:val="008C2323"/>
    <w:rsid w:val="008C26A9"/>
    <w:rsid w:val="008C542B"/>
    <w:rsid w:val="009428CB"/>
    <w:rsid w:val="00970A83"/>
    <w:rsid w:val="009817F9"/>
    <w:rsid w:val="009835DE"/>
    <w:rsid w:val="009A23A1"/>
    <w:rsid w:val="009D37E5"/>
    <w:rsid w:val="009E454D"/>
    <w:rsid w:val="00A26582"/>
    <w:rsid w:val="00A46B8A"/>
    <w:rsid w:val="00A56551"/>
    <w:rsid w:val="00A959EC"/>
    <w:rsid w:val="00B1349A"/>
    <w:rsid w:val="00B56241"/>
    <w:rsid w:val="00BA4220"/>
    <w:rsid w:val="00BC6608"/>
    <w:rsid w:val="00BD0650"/>
    <w:rsid w:val="00BD0A88"/>
    <w:rsid w:val="00BD35E1"/>
    <w:rsid w:val="00BD4B91"/>
    <w:rsid w:val="00C0734A"/>
    <w:rsid w:val="00CD2FFE"/>
    <w:rsid w:val="00CE3002"/>
    <w:rsid w:val="00D36331"/>
    <w:rsid w:val="00D4691D"/>
    <w:rsid w:val="00DF0C89"/>
    <w:rsid w:val="00E30BB2"/>
    <w:rsid w:val="00EA33F5"/>
    <w:rsid w:val="00EC5D93"/>
    <w:rsid w:val="00ED383F"/>
    <w:rsid w:val="00EF5995"/>
    <w:rsid w:val="00F874D4"/>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7FF3"/>
  <w15:docId w15:val="{00F8CF2F-EEE5-4A38-95C3-9817A6EA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231">
      <w:bodyDiv w:val="1"/>
      <w:marLeft w:val="0"/>
      <w:marRight w:val="0"/>
      <w:marTop w:val="0"/>
      <w:marBottom w:val="0"/>
      <w:divBdr>
        <w:top w:val="none" w:sz="0" w:space="0" w:color="auto"/>
        <w:left w:val="none" w:sz="0" w:space="0" w:color="auto"/>
        <w:bottom w:val="none" w:sz="0" w:space="0" w:color="auto"/>
        <w:right w:val="none" w:sz="0" w:space="0" w:color="auto"/>
      </w:divBdr>
    </w:div>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5467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B605-C245-429B-A9D2-6DA38ACD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maydin</dc:creator>
  <cp:lastModifiedBy>ALİ BAŞTUĞ</cp:lastModifiedBy>
  <cp:revision>6</cp:revision>
  <cp:lastPrinted>2019-12-08T17:43:00Z</cp:lastPrinted>
  <dcterms:created xsi:type="dcterms:W3CDTF">2020-03-09T13:16:00Z</dcterms:created>
  <dcterms:modified xsi:type="dcterms:W3CDTF">2026-04-29T12:18:00Z</dcterms:modified>
</cp:coreProperties>
</file>